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61F26E">
      <w:pPr>
        <w:pStyle w:val="4"/>
        <w:overflowPunct w:val="0"/>
        <w:snapToGrid w:val="0"/>
        <w:spacing w:line="360" w:lineRule="auto"/>
        <w:jc w:val="center"/>
      </w:pPr>
      <w:r>
        <w:rPr>
          <w:rFonts w:eastAsia="黑体"/>
          <w:sz w:val="28"/>
          <w:szCs w:val="28"/>
        </w:rPr>
        <w:t>第二章</w:t>
      </w:r>
      <w:r>
        <w:rPr>
          <w:rFonts w:ascii="Times New Roman" w:hAnsi="Times New Roman"/>
          <w:sz w:val="28"/>
          <w:szCs w:val="28"/>
        </w:rPr>
        <w:t>　</w:t>
      </w:r>
      <w:r>
        <w:rPr>
          <w:rFonts w:eastAsia="黑体"/>
          <w:sz w:val="28"/>
          <w:szCs w:val="28"/>
        </w:rPr>
        <w:t>生态安全</w:t>
      </w:r>
    </w:p>
    <w:p w14:paraId="049E5BFA">
      <w:pPr>
        <w:pStyle w:val="5"/>
        <w:overflowPunct w:val="0"/>
        <w:snapToGrid w:val="0"/>
        <w:spacing w:line="360" w:lineRule="auto"/>
        <w:jc w:val="center"/>
      </w:pPr>
      <w:r>
        <w:rPr>
          <w:rFonts w:eastAsia="黑体"/>
          <w:sz w:val="28"/>
          <w:szCs w:val="28"/>
        </w:rPr>
        <w:t>第一节</w:t>
      </w:r>
      <w:r>
        <w:rPr>
          <w:rFonts w:ascii="Times New Roman" w:hAnsi="Times New Roman"/>
          <w:sz w:val="28"/>
          <w:szCs w:val="28"/>
        </w:rPr>
        <w:t>　</w:t>
      </w:r>
      <w:r>
        <w:rPr>
          <w:rFonts w:eastAsia="黑体"/>
          <w:sz w:val="28"/>
          <w:szCs w:val="28"/>
        </w:rPr>
        <w:t>分析人类活动对生态环境的影响</w:t>
      </w:r>
    </w:p>
    <w:p w14:paraId="4A3B3C98">
      <w:pPr>
        <w:overflowPunct w:val="0"/>
        <w:snapToGrid w:val="0"/>
        <w:spacing w:line="360" w:lineRule="auto"/>
        <w:jc w:val="left"/>
      </w:pPr>
      <w:r>
        <w:rPr>
          <w:sz w:val="28"/>
          <w:szCs w:val="28"/>
        </w:rPr>
        <w:drawing>
          <wp:inline distT="0" distB="0" distL="0" distR="0">
            <wp:extent cx="1173480" cy="225425"/>
            <wp:effectExtent l="0" t="0" r="7620" b="3175"/>
            <wp:docPr id="134" name="素养目标.jpg" descr="id:21474881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素养目标.jpg" descr="id:2147488151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73712" cy="22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906497">
      <w:pPr>
        <w:overflowPunct w:val="0"/>
        <w:snapToGrid w:val="0"/>
        <w:spacing w:line="360" w:lineRule="auto"/>
      </w:pPr>
      <w:r>
        <w:rPr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生命观念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认同人是生物圈中的一员</w:t>
      </w:r>
      <w:r>
        <w:rPr>
          <w:rFonts w:ascii="宋体" w:hAnsi="宋体" w:eastAsia="宋体"/>
          <w:sz w:val="28"/>
          <w:szCs w:val="28"/>
        </w:rPr>
        <w:t>，</w:t>
      </w:r>
      <w:r>
        <w:rPr>
          <w:rFonts w:hint="eastAsia"/>
          <w:sz w:val="28"/>
          <w:szCs w:val="28"/>
        </w:rPr>
        <w:t>保护生物圈人人有责</w:t>
      </w:r>
      <w:r>
        <w:rPr>
          <w:rFonts w:ascii="宋体" w:hAnsi="宋体" w:eastAsia="宋体"/>
          <w:sz w:val="28"/>
          <w:szCs w:val="28"/>
        </w:rPr>
        <w:t>。</w:t>
      </w:r>
    </w:p>
    <w:p w14:paraId="076FD8BD">
      <w:pPr>
        <w:overflowPunct w:val="0"/>
        <w:snapToGrid w:val="0"/>
        <w:spacing w:line="360" w:lineRule="auto"/>
      </w:pPr>
      <w:r>
        <w:rPr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科学思维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举例说明人类活动对生态环境的影响</w:t>
      </w:r>
      <w:r>
        <w:rPr>
          <w:rFonts w:ascii="宋体" w:hAnsi="宋体" w:eastAsia="宋体"/>
          <w:sz w:val="28"/>
          <w:szCs w:val="28"/>
        </w:rPr>
        <w:t>。</w:t>
      </w:r>
    </w:p>
    <w:p w14:paraId="68DA8301">
      <w:pPr>
        <w:overflowPunct w:val="0"/>
        <w:snapToGrid w:val="0"/>
        <w:spacing w:line="360" w:lineRule="auto"/>
      </w:pPr>
      <w:r>
        <w:rPr>
          <w:sz w:val="28"/>
          <w:szCs w:val="28"/>
        </w:rPr>
        <w:t>3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探究实践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通过实验探究酸雨对生物的影响</w:t>
      </w:r>
      <w:r>
        <w:rPr>
          <w:rFonts w:ascii="宋体" w:hAnsi="宋体" w:eastAsia="宋体"/>
          <w:sz w:val="28"/>
          <w:szCs w:val="28"/>
        </w:rPr>
        <w:t>。</w:t>
      </w:r>
    </w:p>
    <w:p w14:paraId="21E0ADFC">
      <w:pPr>
        <w:overflowPunct w:val="0"/>
        <w:snapToGrid w:val="0"/>
        <w:spacing w:line="360" w:lineRule="auto"/>
      </w:pPr>
      <w:r>
        <w:rPr>
          <w:sz w:val="28"/>
          <w:szCs w:val="28"/>
        </w:rPr>
        <w:t>4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态度责任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关注人类活动对生物圈的负面影响</w:t>
      </w:r>
      <w:r>
        <w:rPr>
          <w:rFonts w:ascii="宋体" w:hAnsi="宋体" w:eastAsia="宋体"/>
          <w:sz w:val="28"/>
          <w:szCs w:val="28"/>
        </w:rPr>
        <w:t>，</w:t>
      </w:r>
      <w:r>
        <w:rPr>
          <w:rFonts w:hint="eastAsia"/>
          <w:sz w:val="28"/>
          <w:szCs w:val="28"/>
        </w:rPr>
        <w:t>形成自觉保护环境的意识</w:t>
      </w:r>
      <w:r>
        <w:rPr>
          <w:rFonts w:ascii="宋体" w:hAnsi="宋体" w:eastAsia="宋体"/>
          <w:sz w:val="28"/>
          <w:szCs w:val="28"/>
        </w:rPr>
        <w:t>。</w:t>
      </w:r>
    </w:p>
    <w:p w14:paraId="437F503F">
      <w:pPr>
        <w:overflowPunct w:val="0"/>
        <w:snapToGrid w:val="0"/>
        <w:spacing w:line="360" w:lineRule="auto"/>
        <w:jc w:val="left"/>
      </w:pPr>
      <w:r>
        <w:rPr>
          <w:sz w:val="28"/>
          <w:szCs w:val="28"/>
        </w:rPr>
        <w:drawing>
          <wp:inline distT="0" distB="0" distL="0" distR="0">
            <wp:extent cx="1334135" cy="225425"/>
            <wp:effectExtent l="0" t="0" r="18415" b="3175"/>
            <wp:docPr id="135" name="教学重难点.jpg" descr="id:21474881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教学重难点.jpg" descr="id:2147488158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34516" cy="22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366778">
      <w:pPr>
        <w:overflowPunct w:val="0"/>
        <w:snapToGrid w:val="0"/>
        <w:spacing w:line="360" w:lineRule="auto"/>
      </w:pPr>
      <w:r>
        <w:rPr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教学重点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生态系统的自我调节能力</w:t>
      </w:r>
      <w:r>
        <w:rPr>
          <w:rFonts w:ascii="宋体" w:hAnsi="宋体" w:eastAsia="宋体"/>
          <w:sz w:val="28"/>
          <w:szCs w:val="28"/>
        </w:rPr>
        <w:t>。</w:t>
      </w:r>
    </w:p>
    <w:p w14:paraId="702C0D41">
      <w:pPr>
        <w:overflowPunct w:val="0"/>
        <w:snapToGrid w:val="0"/>
        <w:spacing w:line="360" w:lineRule="auto"/>
      </w:pPr>
      <w:r>
        <w:rPr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教学难点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人类活动对生态环境的影响</w:t>
      </w:r>
      <w:r>
        <w:rPr>
          <w:rFonts w:ascii="宋体" w:hAnsi="宋体" w:eastAsia="宋体"/>
          <w:sz w:val="28"/>
          <w:szCs w:val="28"/>
        </w:rPr>
        <w:t>。</w:t>
      </w:r>
    </w:p>
    <w:p w14:paraId="65056C53">
      <w:pPr>
        <w:overflowPunct w:val="0"/>
        <w:snapToGrid w:val="0"/>
        <w:spacing w:line="360" w:lineRule="auto"/>
        <w:jc w:val="left"/>
      </w:pPr>
      <w:r>
        <w:rPr>
          <w:sz w:val="28"/>
          <w:szCs w:val="28"/>
        </w:rPr>
        <w:drawing>
          <wp:inline distT="0" distB="0" distL="0" distR="0">
            <wp:extent cx="1173480" cy="225425"/>
            <wp:effectExtent l="0" t="0" r="7620" b="3175"/>
            <wp:docPr id="136" name="教学过程.jpg" descr="id:21474881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教学过程.jpg" descr="id:2147488165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73712" cy="22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2"/>
        <w:tblW w:w="5000" w:type="pct"/>
        <w:jc w:val="center"/>
        <w:tblBorders>
          <w:top w:val="single" w:color="FF00FF" w:sz="0" w:space="0"/>
          <w:left w:val="single" w:color="FF00FF" w:sz="0" w:space="0"/>
          <w:bottom w:val="single" w:color="FF00FF" w:sz="0" w:space="0"/>
          <w:right w:val="single" w:color="FF00FF" w:sz="0" w:space="0"/>
          <w:insideH w:val="single" w:color="FF00FF" w:sz="0" w:space="0"/>
          <w:insideV w:val="single" w:color="FF00FF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4673"/>
        <w:gridCol w:w="2962"/>
      </w:tblGrid>
      <w:tr w14:paraId="286EB0F6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1C471B27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教学环节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6EE9632F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教师活动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0A8EEEE0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学生活动</w:t>
            </w:r>
          </w:p>
        </w:tc>
      </w:tr>
      <w:tr w14:paraId="6B03534B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39879FF0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楷体"/>
                <w:sz w:val="28"/>
                <w:szCs w:val="28"/>
              </w:rPr>
              <w:t>情境导入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230F9A79">
            <w:pPr>
              <w:overflowPunct w:val="0"/>
              <w:snapToGrid w:val="0"/>
              <w:spacing w:line="360" w:lineRule="auto"/>
            </w:pPr>
            <w:r>
              <w:rPr>
                <w:rFonts w:ascii="Times New Roman" w:hAnsi="Times New Roman"/>
                <w:sz w:val="28"/>
                <w:szCs w:val="28"/>
              </w:rPr>
              <w:t>　　</w:t>
            </w:r>
            <w:r>
              <w:rPr>
                <w:rFonts w:eastAsia="楷体"/>
                <w:sz w:val="28"/>
                <w:szCs w:val="28"/>
              </w:rPr>
              <w:t>指导学生阅读教材</w:t>
            </w:r>
            <w:r>
              <w:rPr>
                <w:sz w:val="28"/>
                <w:szCs w:val="28"/>
              </w:rPr>
              <w:t>P100</w:t>
            </w:r>
            <w:r>
              <w:rPr>
                <w:rFonts w:hAnsi="楷体" w:eastAsia="楷体"/>
                <w:sz w:val="28"/>
                <w:szCs w:val="28"/>
              </w:rPr>
              <w:t>“</w:t>
            </w:r>
            <w:r>
              <w:rPr>
                <w:rFonts w:eastAsia="楷体"/>
                <w:sz w:val="28"/>
                <w:szCs w:val="28"/>
              </w:rPr>
              <w:t>想一想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议一议</w:t>
            </w:r>
            <w:r>
              <w:rPr>
                <w:rFonts w:hAnsi="楷体" w:eastAsia="楷体"/>
                <w:sz w:val="28"/>
                <w:szCs w:val="28"/>
              </w:rPr>
              <w:t>”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回答问题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</w:p>
          <w:p w14:paraId="28A5D718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1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在农田大量喷洒</w:t>
            </w:r>
            <w:r>
              <w:rPr>
                <w:sz w:val="28"/>
                <w:szCs w:val="28"/>
              </w:rPr>
              <w:t>DDT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为什么会危及鸟、鱼、虾等动物的生存和繁殖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7D3983F7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2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鸟、蜜蜂和蝴蝶减少或消失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会不会影响生态系统的结构和功能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  <w:r>
              <w:rPr>
                <w:rFonts w:eastAsia="楷体"/>
                <w:sz w:val="28"/>
                <w:szCs w:val="28"/>
              </w:rPr>
              <w:t>对人类的生产和生活有什么影响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2288892D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认真阅读教材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思考并回答问题。</w:t>
            </w:r>
          </w:p>
        </w:tc>
      </w:tr>
      <w:tr w14:paraId="2B6DD106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799F5D2D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楷体"/>
                <w:sz w:val="28"/>
                <w:szCs w:val="28"/>
              </w:rPr>
              <w:t>新知探究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71C68E24">
            <w:pPr>
              <w:overflowPunct w:val="0"/>
              <w:snapToGrid w:val="0"/>
              <w:spacing w:line="360" w:lineRule="auto"/>
            </w:pPr>
            <w:r>
              <w:rPr>
                <w:rFonts w:eastAsia="黑体"/>
                <w:sz w:val="28"/>
                <w:szCs w:val="28"/>
              </w:rPr>
              <w:t>探究一</w:t>
            </w:r>
            <w:r>
              <w:rPr>
                <w:rFonts w:ascii="Times New Roman" w:hAnsi="Times New Roman"/>
                <w:sz w:val="28"/>
                <w:szCs w:val="28"/>
              </w:rPr>
              <w:t>　</w:t>
            </w:r>
            <w:r>
              <w:rPr>
                <w:sz w:val="28"/>
                <w:szCs w:val="28"/>
              </w:rPr>
              <w:t>DDT</w:t>
            </w:r>
            <w:r>
              <w:rPr>
                <w:rFonts w:eastAsia="黑体"/>
                <w:sz w:val="28"/>
                <w:szCs w:val="28"/>
              </w:rPr>
              <w:t>等污染物在食物链中的传递和积累</w:t>
            </w:r>
          </w:p>
          <w:p w14:paraId="6947F296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讲解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sz w:val="28"/>
                <w:szCs w:val="28"/>
              </w:rPr>
              <w:t>DDT</w:t>
            </w:r>
            <w:r>
              <w:rPr>
                <w:rFonts w:eastAsia="楷体"/>
                <w:sz w:val="28"/>
                <w:szCs w:val="28"/>
              </w:rPr>
              <w:t>等杀虫剂的广泛使用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在杀灭害虫的同时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还对农田、河流、湖泊等生态系统造成严重污染。污染物沿食物链传递并逐渐积累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危及昆虫、鸟、鱼、虾等生物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当然也包括人。食虫鸟类数量减少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害虫因失去天敌的制约会大量繁殖。蜜蜂等传粉昆虫减少了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许多植物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包括许多粮食作物和果树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就不能完成传粉受精。可见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广泛使用</w:t>
            </w:r>
            <w:r>
              <w:rPr>
                <w:sz w:val="28"/>
                <w:szCs w:val="28"/>
              </w:rPr>
              <w:t>DDT</w:t>
            </w:r>
            <w:r>
              <w:rPr>
                <w:rFonts w:eastAsia="楷体"/>
                <w:sz w:val="28"/>
                <w:szCs w:val="28"/>
              </w:rPr>
              <w:t>等杀虫剂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会破坏生态系统的结构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削弱生态系统的功能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从而造成严重的生态环境问题。</w:t>
            </w:r>
          </w:p>
          <w:p w14:paraId="083259E9">
            <w:pPr>
              <w:overflowPunct w:val="0"/>
              <w:snapToGrid w:val="0"/>
              <w:spacing w:line="360" w:lineRule="auto"/>
            </w:pPr>
            <w:r>
              <w:rPr>
                <w:rFonts w:eastAsia="黑体"/>
                <w:sz w:val="28"/>
                <w:szCs w:val="28"/>
              </w:rPr>
              <w:t>探究二</w:t>
            </w:r>
            <w:r>
              <w:rPr>
                <w:rFonts w:ascii="Times New Roman" w:hAnsi="Times New Roman"/>
                <w:sz w:val="28"/>
                <w:szCs w:val="28"/>
              </w:rPr>
              <w:t>　</w:t>
            </w:r>
            <w:r>
              <w:rPr>
                <w:rFonts w:eastAsia="黑体"/>
                <w:sz w:val="28"/>
                <w:szCs w:val="28"/>
              </w:rPr>
              <w:t>从生态系统视角看生态环境问题</w:t>
            </w:r>
          </w:p>
          <w:p w14:paraId="0EAFE4F6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引导学生阅读教材</w:t>
            </w:r>
            <w:r>
              <w:rPr>
                <w:sz w:val="28"/>
                <w:szCs w:val="28"/>
              </w:rPr>
              <w:t>P101</w:t>
            </w:r>
            <w:r>
              <w:rPr>
                <w:rFonts w:ascii="宋体" w:hAnsi="宋体" w:eastAsia="宋体"/>
                <w:sz w:val="28"/>
                <w:szCs w:val="28"/>
              </w:rPr>
              <w:t>－</w:t>
            </w:r>
            <w:r>
              <w:rPr>
                <w:sz w:val="28"/>
                <w:szCs w:val="28"/>
              </w:rPr>
              <w:t>P102</w:t>
            </w:r>
            <w:r>
              <w:rPr>
                <w:rFonts w:eastAsia="楷体"/>
                <w:sz w:val="28"/>
                <w:szCs w:val="28"/>
              </w:rPr>
              <w:t>的相应内容。共同总结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</w:p>
          <w:p w14:paraId="0CEF7661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1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生态系统服务的类型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</w:p>
          <w:p w14:paraId="599D25E1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1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供给服务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食物、水、木材等</w:t>
            </w: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rFonts w:eastAsia="楷体"/>
                <w:sz w:val="28"/>
                <w:szCs w:val="28"/>
              </w:rPr>
              <w:t>举例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稻田提供大米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。</w:t>
            </w:r>
          </w:p>
          <w:p w14:paraId="7CC2FCE1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2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调节服务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净化空气、调节气候</w:t>
            </w: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rFonts w:eastAsia="楷体"/>
                <w:sz w:val="28"/>
                <w:szCs w:val="28"/>
              </w:rPr>
              <w:t>举例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森林吸收二氧化碳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。</w:t>
            </w:r>
          </w:p>
          <w:p w14:paraId="5F6C4344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3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文化服务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旅游、休闲价值</w:t>
            </w: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rFonts w:eastAsia="楷体"/>
                <w:sz w:val="28"/>
                <w:szCs w:val="28"/>
              </w:rPr>
              <w:t>举例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公园散步让人放松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。</w:t>
            </w:r>
          </w:p>
          <w:p w14:paraId="575D6789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2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人类活动的影响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</w:p>
          <w:p w14:paraId="3559D8D3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结合案例讨论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播放</w:t>
            </w:r>
            <w:r>
              <w:rPr>
                <w:sz w:val="28"/>
                <w:szCs w:val="28"/>
              </w:rPr>
              <w:t>DDT</w:t>
            </w:r>
            <w:r>
              <w:rPr>
                <w:rFonts w:eastAsia="楷体"/>
                <w:sz w:val="28"/>
                <w:szCs w:val="28"/>
              </w:rPr>
              <w:t>污染短片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提问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</w:p>
          <w:p w14:paraId="52DFD943">
            <w:pPr>
              <w:overflowPunct w:val="0"/>
              <w:snapToGrid w:val="0"/>
              <w:spacing w:line="360" w:lineRule="auto"/>
            </w:pPr>
            <w:r>
              <w:rPr>
                <w:rFonts w:hAnsi="楷体" w:eastAsia="楷体"/>
                <w:sz w:val="28"/>
                <w:szCs w:val="28"/>
              </w:rPr>
              <w:t>“</w:t>
            </w:r>
            <w:r>
              <w:rPr>
                <w:sz w:val="28"/>
                <w:szCs w:val="28"/>
              </w:rPr>
              <w:t>DDT</w:t>
            </w:r>
            <w:r>
              <w:rPr>
                <w:rFonts w:eastAsia="楷体"/>
                <w:sz w:val="28"/>
                <w:szCs w:val="28"/>
              </w:rPr>
              <w:t>是如何通过食物链影响生态系统的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  <w:r>
              <w:rPr>
                <w:rFonts w:hAnsi="楷体" w:eastAsia="楷体"/>
                <w:sz w:val="28"/>
                <w:szCs w:val="28"/>
              </w:rPr>
              <w:t>”</w:t>
            </w: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rFonts w:eastAsia="楷体"/>
                <w:sz w:val="28"/>
                <w:szCs w:val="28"/>
              </w:rPr>
              <w:t>用实物道具模拟</w:t>
            </w:r>
            <w:r>
              <w:rPr>
                <w:sz w:val="28"/>
                <w:szCs w:val="28"/>
              </w:rPr>
              <w:t>DDT</w:t>
            </w:r>
            <w:r>
              <w:rPr>
                <w:rFonts w:eastAsia="楷体"/>
                <w:sz w:val="28"/>
                <w:szCs w:val="28"/>
              </w:rPr>
              <w:t>沿着</w:t>
            </w:r>
            <w:r>
              <w:rPr>
                <w:rFonts w:hAnsi="楷体" w:eastAsia="楷体"/>
                <w:sz w:val="28"/>
                <w:szCs w:val="28"/>
              </w:rPr>
              <w:t>“</w:t>
            </w:r>
            <w:r>
              <w:rPr>
                <w:rFonts w:eastAsia="楷体"/>
                <w:sz w:val="28"/>
                <w:szCs w:val="28"/>
              </w:rPr>
              <w:t>植物</w:t>
            </w:r>
            <w:r>
              <w:rPr>
                <w:rFonts w:hint="eastAsia" w:hAnsi="Times New Roman" w:eastAsia="Times New Roman"/>
                <w:sz w:val="28"/>
                <w:szCs w:val="28"/>
              </w:rPr>
              <w:t>→</w:t>
            </w:r>
            <w:r>
              <w:rPr>
                <w:rFonts w:eastAsia="楷体"/>
                <w:sz w:val="28"/>
                <w:szCs w:val="28"/>
              </w:rPr>
              <w:t>昆虫</w:t>
            </w:r>
            <w:r>
              <w:rPr>
                <w:rFonts w:hint="eastAsia" w:hAnsi="Times New Roman" w:eastAsia="Times New Roman"/>
                <w:sz w:val="28"/>
                <w:szCs w:val="28"/>
              </w:rPr>
              <w:t>→</w:t>
            </w:r>
            <w:r>
              <w:rPr>
                <w:rFonts w:eastAsia="楷体"/>
                <w:sz w:val="28"/>
                <w:szCs w:val="28"/>
              </w:rPr>
              <w:t>小鸟</w:t>
            </w:r>
            <w:r>
              <w:rPr>
                <w:rFonts w:hint="eastAsia" w:hAnsi="Times New Roman" w:eastAsia="Times New Roman"/>
                <w:sz w:val="28"/>
                <w:szCs w:val="28"/>
              </w:rPr>
              <w:t>→</w:t>
            </w:r>
            <w:r>
              <w:rPr>
                <w:rFonts w:eastAsia="楷体"/>
                <w:sz w:val="28"/>
                <w:szCs w:val="28"/>
              </w:rPr>
              <w:t>鹰</w:t>
            </w:r>
            <w:r>
              <w:rPr>
                <w:rFonts w:hAnsi="楷体" w:eastAsia="楷体"/>
                <w:sz w:val="28"/>
                <w:szCs w:val="28"/>
              </w:rPr>
              <w:t>”</w:t>
            </w:r>
            <w:r>
              <w:rPr>
                <w:rFonts w:eastAsia="楷体"/>
                <w:sz w:val="28"/>
                <w:szCs w:val="28"/>
              </w:rPr>
              <w:t>传递的过程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</w:p>
          <w:p w14:paraId="709ECB89">
            <w:pPr>
              <w:overflowPunct w:val="0"/>
              <w:snapToGrid w:val="0"/>
              <w:spacing w:line="360" w:lineRule="auto"/>
            </w:pPr>
            <w:r>
              <w:rPr>
                <w:rFonts w:hAnsi="楷体" w:eastAsia="楷体"/>
                <w:sz w:val="28"/>
                <w:szCs w:val="28"/>
              </w:rPr>
              <w:t>“</w:t>
            </w:r>
            <w:r>
              <w:rPr>
                <w:rFonts w:eastAsia="楷体"/>
                <w:sz w:val="28"/>
                <w:szCs w:val="28"/>
              </w:rPr>
              <w:t>如果鸟类灭绝了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对人类有什么影响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  <w:r>
              <w:rPr>
                <w:rFonts w:hAnsi="楷体" w:eastAsia="楷体"/>
                <w:sz w:val="28"/>
                <w:szCs w:val="28"/>
              </w:rPr>
              <w:t>”</w:t>
            </w: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rFonts w:eastAsia="楷体"/>
                <w:sz w:val="28"/>
                <w:szCs w:val="28"/>
              </w:rPr>
              <w:t>如害虫泛滥、农作物减产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</w:p>
          <w:p w14:paraId="16F32BB3">
            <w:pPr>
              <w:overflowPunct w:val="0"/>
              <w:snapToGrid w:val="0"/>
              <w:spacing w:line="360" w:lineRule="auto"/>
            </w:pPr>
            <w:r>
              <w:rPr>
                <w:rFonts w:eastAsia="黑体"/>
                <w:sz w:val="28"/>
                <w:szCs w:val="28"/>
              </w:rPr>
              <w:t>探究三</w:t>
            </w:r>
            <w:r>
              <w:rPr>
                <w:rFonts w:ascii="Times New Roman" w:hAnsi="Times New Roman"/>
                <w:sz w:val="28"/>
                <w:szCs w:val="28"/>
              </w:rPr>
              <w:t>　</w:t>
            </w:r>
            <w:r>
              <w:rPr>
                <w:rFonts w:eastAsia="黑体"/>
                <w:sz w:val="28"/>
                <w:szCs w:val="28"/>
              </w:rPr>
              <w:t>生态系统的自我调节能力</w:t>
            </w:r>
          </w:p>
          <w:p w14:paraId="09E03F48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1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展示图片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展示同一河流在不同时期的对比图片</w:t>
            </w: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rFonts w:eastAsia="楷体"/>
                <w:sz w:val="28"/>
                <w:szCs w:val="28"/>
              </w:rPr>
              <w:t>清澈</w:t>
            </w:r>
            <w:r>
              <w:rPr>
                <w:rFonts w:hint="eastAsia" w:hAnsi="Times New Roman" w:eastAsia="Times New Roman"/>
                <w:sz w:val="28"/>
                <w:szCs w:val="28"/>
              </w:rPr>
              <w:t>→</w:t>
            </w:r>
            <w:r>
              <w:rPr>
                <w:rFonts w:eastAsia="楷体"/>
                <w:sz w:val="28"/>
                <w:szCs w:val="28"/>
              </w:rPr>
              <w:t>污染</w:t>
            </w:r>
            <w:r>
              <w:rPr>
                <w:rFonts w:hint="eastAsia" w:hAnsi="Times New Roman" w:eastAsia="Times New Roman"/>
                <w:sz w:val="28"/>
                <w:szCs w:val="28"/>
              </w:rPr>
              <w:t>→</w:t>
            </w:r>
            <w:r>
              <w:rPr>
                <w:rFonts w:eastAsia="楷体"/>
                <w:sz w:val="28"/>
                <w:szCs w:val="28"/>
              </w:rPr>
              <w:t>恢复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。</w:t>
            </w:r>
          </w:p>
          <w:p w14:paraId="7AE86B0B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提问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这条河流经历了怎样的变化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  <w:r>
              <w:rPr>
                <w:rFonts w:eastAsia="楷体"/>
                <w:sz w:val="28"/>
                <w:szCs w:val="28"/>
              </w:rPr>
              <w:t>为什么会有这些变化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  <w:r>
              <w:rPr>
                <w:rFonts w:eastAsia="楷体"/>
                <w:sz w:val="28"/>
                <w:szCs w:val="28"/>
              </w:rPr>
              <w:t>为什么河流最终能够恢复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415F868C">
            <w:pPr>
              <w:overflowPunct w:val="0"/>
              <w:snapToGrid w:val="0"/>
              <w:spacing w:line="360" w:lineRule="auto"/>
            </w:pPr>
            <w:r>
              <w:rPr>
                <w:rFonts w:ascii="Times New Roman" w:hAnsi="Times New Roman"/>
                <w:sz w:val="28"/>
                <w:szCs w:val="28"/>
              </w:rPr>
              <w:t>　　</w:t>
            </w:r>
            <w:r>
              <w:rPr>
                <w:rFonts w:eastAsia="楷体"/>
                <w:sz w:val="28"/>
                <w:szCs w:val="28"/>
              </w:rPr>
              <w:t>通过河流案例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引出生态系统的自我调节能力的定义。再举例说明轻度污染时河流的自净能力。</w:t>
            </w:r>
          </w:p>
          <w:p w14:paraId="08B984F3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2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讲解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生态系统自我调节能力的表现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</w:p>
          <w:p w14:paraId="502E1AD2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1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生物数量的动态平衡</w:t>
            </w: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rFonts w:eastAsia="楷体"/>
                <w:sz w:val="28"/>
                <w:szCs w:val="28"/>
              </w:rPr>
              <w:t>捕食者与被捕食者的关系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。</w:t>
            </w:r>
          </w:p>
          <w:p w14:paraId="13C7BB24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2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物质循环的平衡</w:t>
            </w: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rFonts w:eastAsia="楷体"/>
                <w:sz w:val="28"/>
                <w:szCs w:val="28"/>
              </w:rPr>
              <w:t>如碳循环、氮循环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。</w:t>
            </w:r>
          </w:p>
          <w:p w14:paraId="7063072D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3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自我调节能力有一定限度。</w:t>
            </w:r>
          </w:p>
          <w:p w14:paraId="221744E8">
            <w:pPr>
              <w:overflowPunct w:val="0"/>
              <w:snapToGrid w:val="0"/>
              <w:spacing w:line="360" w:lineRule="auto"/>
            </w:pPr>
            <w:r>
              <w:rPr>
                <w:rFonts w:ascii="Times New Roman" w:hAnsi="Times New Roman"/>
                <w:sz w:val="28"/>
                <w:szCs w:val="28"/>
              </w:rPr>
              <w:t>　</w:t>
            </w:r>
            <w:r>
              <w:rPr>
                <w:rFonts w:hint="eastAsia" w:eastAsia="楷体"/>
                <w:sz w:val="28"/>
                <w:szCs w:val="28"/>
              </w:rPr>
              <w:t xml:space="preserve"> </w:t>
            </w:r>
            <w:r>
              <w:rPr>
                <w:rFonts w:eastAsia="楷体"/>
                <w:sz w:val="28"/>
                <w:szCs w:val="28"/>
              </w:rPr>
              <w:t>通过草场过度放牧的案例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讨论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为什么超过一定限度后生态系统就难以恢复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71BB3FFC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阅读教材</w:t>
            </w:r>
            <w:r>
              <w:rPr>
                <w:sz w:val="28"/>
                <w:szCs w:val="28"/>
              </w:rPr>
              <w:t>P100</w:t>
            </w:r>
            <w:r>
              <w:rPr>
                <w:rFonts w:ascii="宋体" w:hAnsi="宋体" w:eastAsia="宋体"/>
                <w:sz w:val="28"/>
                <w:szCs w:val="28"/>
              </w:rPr>
              <w:t>－</w:t>
            </w:r>
            <w:r>
              <w:rPr>
                <w:sz w:val="28"/>
                <w:szCs w:val="28"/>
              </w:rPr>
              <w:t>P101</w:t>
            </w:r>
            <w:r>
              <w:rPr>
                <w:rFonts w:eastAsia="楷体"/>
                <w:sz w:val="28"/>
                <w:szCs w:val="28"/>
              </w:rPr>
              <w:t>的相应内容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思考</w:t>
            </w:r>
            <w:r>
              <w:rPr>
                <w:sz w:val="28"/>
                <w:szCs w:val="28"/>
              </w:rPr>
              <w:t>DDT</w:t>
            </w:r>
            <w:r>
              <w:rPr>
                <w:rFonts w:eastAsia="楷体"/>
                <w:sz w:val="28"/>
                <w:szCs w:val="28"/>
              </w:rPr>
              <w:t>等杀虫剂的广泛使用为什么会造成生态系统受到严重污染。</w:t>
            </w:r>
          </w:p>
          <w:p w14:paraId="3792A03B">
            <w:pPr>
              <w:overflowPunct w:val="0"/>
              <w:snapToGrid w:val="0"/>
              <w:spacing w:line="360" w:lineRule="auto"/>
            </w:pPr>
          </w:p>
          <w:p w14:paraId="0F19D0AD">
            <w:pPr>
              <w:overflowPunct w:val="0"/>
              <w:snapToGrid w:val="0"/>
              <w:spacing w:line="360" w:lineRule="auto"/>
            </w:pPr>
          </w:p>
          <w:p w14:paraId="6C673D22">
            <w:pPr>
              <w:overflowPunct w:val="0"/>
              <w:snapToGrid w:val="0"/>
              <w:spacing w:line="360" w:lineRule="auto"/>
            </w:pPr>
          </w:p>
          <w:p w14:paraId="4FA13BB5">
            <w:pPr>
              <w:overflowPunct w:val="0"/>
              <w:snapToGrid w:val="0"/>
              <w:spacing w:line="360" w:lineRule="auto"/>
            </w:pPr>
          </w:p>
          <w:p w14:paraId="777C806B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认真阅读教材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总结知识。</w:t>
            </w:r>
          </w:p>
          <w:p w14:paraId="7E5777C3">
            <w:pPr>
              <w:overflowPunct w:val="0"/>
              <w:snapToGrid w:val="0"/>
              <w:spacing w:line="360" w:lineRule="auto"/>
            </w:pPr>
          </w:p>
          <w:p w14:paraId="7C9A6D72">
            <w:pPr>
              <w:overflowPunct w:val="0"/>
              <w:snapToGrid w:val="0"/>
              <w:spacing w:line="360" w:lineRule="auto"/>
            </w:pPr>
          </w:p>
          <w:p w14:paraId="4B65A720">
            <w:pPr>
              <w:overflowPunct w:val="0"/>
              <w:snapToGrid w:val="0"/>
              <w:spacing w:line="360" w:lineRule="auto"/>
            </w:pPr>
          </w:p>
          <w:p w14:paraId="15C94215">
            <w:pPr>
              <w:overflowPunct w:val="0"/>
              <w:snapToGrid w:val="0"/>
              <w:spacing w:line="360" w:lineRule="auto"/>
            </w:pPr>
          </w:p>
          <w:p w14:paraId="64F8CFBB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认真思考并回答问题。</w:t>
            </w:r>
          </w:p>
          <w:p w14:paraId="38462A4D">
            <w:pPr>
              <w:overflowPunct w:val="0"/>
              <w:snapToGrid w:val="0"/>
              <w:spacing w:line="360" w:lineRule="auto"/>
            </w:pPr>
          </w:p>
          <w:p w14:paraId="76D19EFD">
            <w:pPr>
              <w:overflowPunct w:val="0"/>
              <w:snapToGrid w:val="0"/>
              <w:spacing w:line="360" w:lineRule="auto"/>
            </w:pPr>
          </w:p>
          <w:p w14:paraId="62CD5A00">
            <w:pPr>
              <w:overflowPunct w:val="0"/>
              <w:snapToGrid w:val="0"/>
              <w:spacing w:line="360" w:lineRule="auto"/>
            </w:pPr>
          </w:p>
          <w:p w14:paraId="7B02A935">
            <w:pPr>
              <w:overflowPunct w:val="0"/>
              <w:snapToGrid w:val="0"/>
              <w:spacing w:line="360" w:lineRule="auto"/>
            </w:pPr>
          </w:p>
          <w:p w14:paraId="30225615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观察图片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思考并回答问题。</w:t>
            </w:r>
          </w:p>
          <w:p w14:paraId="304D38F9">
            <w:pPr>
              <w:overflowPunct w:val="0"/>
              <w:snapToGrid w:val="0"/>
              <w:spacing w:line="360" w:lineRule="auto"/>
            </w:pPr>
          </w:p>
          <w:p w14:paraId="1D8F7E07">
            <w:pPr>
              <w:overflowPunct w:val="0"/>
              <w:snapToGrid w:val="0"/>
              <w:spacing w:line="360" w:lineRule="auto"/>
            </w:pPr>
          </w:p>
          <w:p w14:paraId="24E296A8">
            <w:pPr>
              <w:overflowPunct w:val="0"/>
              <w:snapToGrid w:val="0"/>
              <w:spacing w:line="360" w:lineRule="auto"/>
            </w:pPr>
          </w:p>
          <w:p w14:paraId="23BA62C8">
            <w:pPr>
              <w:overflowPunct w:val="0"/>
              <w:snapToGrid w:val="0"/>
              <w:spacing w:line="360" w:lineRule="auto"/>
            </w:pPr>
          </w:p>
          <w:p w14:paraId="406C4B87">
            <w:pPr>
              <w:overflowPunct w:val="0"/>
              <w:snapToGrid w:val="0"/>
              <w:spacing w:line="360" w:lineRule="auto"/>
            </w:pPr>
          </w:p>
          <w:p w14:paraId="159A4EB7">
            <w:pPr>
              <w:overflowPunct w:val="0"/>
              <w:snapToGrid w:val="0"/>
              <w:spacing w:line="360" w:lineRule="auto"/>
            </w:pPr>
          </w:p>
          <w:p w14:paraId="5BCA7FB2">
            <w:pPr>
              <w:overflowPunct w:val="0"/>
              <w:snapToGrid w:val="0"/>
              <w:spacing w:line="360" w:lineRule="auto"/>
            </w:pPr>
          </w:p>
          <w:p w14:paraId="0291B8DE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分析案例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回答问题。</w:t>
            </w:r>
          </w:p>
        </w:tc>
      </w:tr>
    </w:tbl>
    <w:p w14:paraId="2EF8ABC0">
      <w:pPr>
        <w:overflowPunct w:val="0"/>
        <w:snapToGrid w:val="0"/>
        <w:spacing w:line="360" w:lineRule="auto"/>
        <w:jc w:val="right"/>
      </w:pPr>
      <w:r>
        <w:rPr>
          <w:rFonts w:ascii="宋体" w:hAnsi="宋体" w:eastAsia="宋体"/>
          <w:sz w:val="28"/>
          <w:szCs w:val="28"/>
        </w:rPr>
        <w:t>（</w:t>
      </w:r>
      <w:r>
        <w:rPr>
          <w:rFonts w:eastAsia="黑体"/>
          <w:sz w:val="28"/>
          <w:szCs w:val="28"/>
        </w:rPr>
        <w:t>续表</w:t>
      </w:r>
      <w:r>
        <w:rPr>
          <w:rFonts w:ascii="宋体" w:hAnsi="宋体" w:eastAsia="宋体"/>
          <w:sz w:val="28"/>
          <w:szCs w:val="28"/>
        </w:rPr>
        <w:t>）</w:t>
      </w:r>
    </w:p>
    <w:tbl>
      <w:tblPr>
        <w:tblStyle w:val="2"/>
        <w:tblW w:w="5000" w:type="pct"/>
        <w:jc w:val="center"/>
        <w:tblBorders>
          <w:top w:val="single" w:color="FF00FF" w:sz="0" w:space="0"/>
          <w:left w:val="single" w:color="FF00FF" w:sz="0" w:space="0"/>
          <w:bottom w:val="single" w:color="FF00FF" w:sz="0" w:space="0"/>
          <w:right w:val="single" w:color="FF00FF" w:sz="0" w:space="0"/>
          <w:insideH w:val="single" w:color="FF00FF" w:sz="0" w:space="0"/>
          <w:insideV w:val="single" w:color="FF00FF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4673"/>
        <w:gridCol w:w="2962"/>
      </w:tblGrid>
      <w:tr w14:paraId="7B21A381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2F5186F5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教学环节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65B32DAF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教师活动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25EC73C2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学生活动</w:t>
            </w:r>
          </w:p>
        </w:tc>
      </w:tr>
      <w:tr w14:paraId="4897C402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548A7762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楷体"/>
                <w:sz w:val="28"/>
                <w:szCs w:val="28"/>
              </w:rPr>
              <w:t>新知探究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5F12DD9D">
            <w:pPr>
              <w:overflowPunct w:val="0"/>
              <w:snapToGrid w:val="0"/>
              <w:spacing w:line="360" w:lineRule="auto"/>
            </w:pPr>
            <w:r>
              <w:rPr>
                <w:rFonts w:eastAsia="黑体"/>
                <w:sz w:val="28"/>
                <w:szCs w:val="28"/>
              </w:rPr>
              <w:t>探究四</w:t>
            </w:r>
            <w:r>
              <w:rPr>
                <w:rFonts w:ascii="Times New Roman" w:hAnsi="Times New Roman"/>
                <w:sz w:val="28"/>
                <w:szCs w:val="28"/>
              </w:rPr>
              <w:t>　</w:t>
            </w:r>
            <w:r>
              <w:rPr>
                <w:rFonts w:eastAsia="黑体"/>
                <w:sz w:val="28"/>
                <w:szCs w:val="28"/>
              </w:rPr>
              <w:t>分析人类活动影响生态环境的事例</w:t>
            </w:r>
          </w:p>
          <w:p w14:paraId="71CCC944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阅读教材</w:t>
            </w:r>
            <w:r>
              <w:rPr>
                <w:sz w:val="28"/>
                <w:szCs w:val="28"/>
              </w:rPr>
              <w:t>P104</w:t>
            </w:r>
            <w:r>
              <w:rPr>
                <w:rFonts w:ascii="宋体" w:hAnsi="宋体" w:eastAsia="宋体"/>
                <w:sz w:val="28"/>
                <w:szCs w:val="28"/>
              </w:rPr>
              <w:t>－</w:t>
            </w:r>
            <w:r>
              <w:rPr>
                <w:sz w:val="28"/>
                <w:szCs w:val="28"/>
              </w:rPr>
              <w:t>105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举例说明人类活动对生态环境的影响。运用相关知识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结合教材事例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思考和讨论教材问题。</w:t>
            </w:r>
          </w:p>
          <w:p w14:paraId="585231DC">
            <w:pPr>
              <w:overflowPunct w:val="0"/>
              <w:snapToGrid w:val="0"/>
              <w:spacing w:line="360" w:lineRule="auto"/>
            </w:pPr>
            <w:r>
              <w:rPr>
                <w:rFonts w:eastAsia="黑体"/>
                <w:sz w:val="28"/>
                <w:szCs w:val="28"/>
              </w:rPr>
              <w:t>探究五</w:t>
            </w:r>
            <w:r>
              <w:rPr>
                <w:rFonts w:ascii="Times New Roman" w:hAnsi="Times New Roman"/>
                <w:sz w:val="28"/>
                <w:szCs w:val="28"/>
              </w:rPr>
              <w:t>　</w:t>
            </w:r>
            <w:r>
              <w:rPr>
                <w:rFonts w:eastAsia="黑体"/>
                <w:sz w:val="28"/>
                <w:szCs w:val="28"/>
              </w:rPr>
              <w:t>环境污染对生物的影响</w:t>
            </w:r>
          </w:p>
          <w:p w14:paraId="644F9E02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1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播放短视频《酸雨的形成》</w:t>
            </w: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rFonts w:eastAsia="楷体"/>
                <w:sz w:val="28"/>
                <w:szCs w:val="28"/>
              </w:rPr>
              <w:t>二氧化硫</w:t>
            </w:r>
            <w:r>
              <w:rPr>
                <w:rFonts w:hint="eastAsia" w:hAnsi="Times New Roman" w:eastAsia="Times New Roman"/>
                <w:sz w:val="28"/>
                <w:szCs w:val="28"/>
              </w:rPr>
              <w:t>→</w:t>
            </w:r>
            <w:r>
              <w:rPr>
                <w:rFonts w:eastAsia="楷体"/>
                <w:sz w:val="28"/>
                <w:szCs w:val="28"/>
              </w:rPr>
              <w:t>硫酸雨的过程动画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。</w:t>
            </w:r>
          </w:p>
          <w:p w14:paraId="5D6DB1CE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2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设计实验方案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</w:p>
          <w:p w14:paraId="544B0812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1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如何模拟不同酸度的</w:t>
            </w:r>
            <w:r>
              <w:rPr>
                <w:rFonts w:hAnsi="楷体" w:eastAsia="楷体"/>
                <w:sz w:val="28"/>
                <w:szCs w:val="28"/>
              </w:rPr>
              <w:t>“</w:t>
            </w:r>
            <w:r>
              <w:rPr>
                <w:rFonts w:eastAsia="楷体"/>
                <w:sz w:val="28"/>
                <w:szCs w:val="28"/>
              </w:rPr>
              <w:t>雨水</w:t>
            </w:r>
            <w:r>
              <w:rPr>
                <w:rFonts w:hAnsi="楷体" w:eastAsia="楷体"/>
                <w:sz w:val="28"/>
                <w:szCs w:val="28"/>
              </w:rPr>
              <w:t>”</w:t>
            </w:r>
            <w:r>
              <w:rPr>
                <w:rFonts w:ascii="宋体" w:hAnsi="宋体" w:eastAsia="宋体"/>
                <w:sz w:val="28"/>
                <w:szCs w:val="28"/>
              </w:rPr>
              <w:t>？（</w:t>
            </w:r>
            <w:r>
              <w:rPr>
                <w:rFonts w:eastAsia="楷体"/>
                <w:sz w:val="28"/>
                <w:szCs w:val="28"/>
              </w:rPr>
              <w:t>使用食醋调配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</w:p>
          <w:p w14:paraId="5D818B61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2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选择什么观测指标</w:t>
            </w:r>
            <w:r>
              <w:rPr>
                <w:rFonts w:ascii="宋体" w:hAnsi="宋体" w:eastAsia="宋体"/>
                <w:sz w:val="28"/>
                <w:szCs w:val="28"/>
              </w:rPr>
              <w:t>？（</w:t>
            </w:r>
            <w:r>
              <w:rPr>
                <w:rFonts w:eastAsia="楷体"/>
                <w:sz w:val="28"/>
                <w:szCs w:val="28"/>
              </w:rPr>
              <w:t>种子发芽率</w:t>
            </w:r>
            <w:r>
              <w:rPr>
                <w:sz w:val="28"/>
                <w:szCs w:val="28"/>
              </w:rPr>
              <w:t>/</w:t>
            </w:r>
            <w:r>
              <w:rPr>
                <w:rFonts w:eastAsia="楷体"/>
                <w:sz w:val="28"/>
                <w:szCs w:val="28"/>
              </w:rPr>
              <w:t>幼苗根长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</w:p>
          <w:p w14:paraId="4DCCF735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3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教师指导完善方案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强调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对照组设置</w:t>
            </w: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rFonts w:eastAsia="楷体"/>
                <w:sz w:val="28"/>
                <w:szCs w:val="28"/>
              </w:rPr>
              <w:t>清水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、实验组梯度</w:t>
            </w: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rFonts w:eastAsia="楷体"/>
                <w:sz w:val="28"/>
                <w:szCs w:val="28"/>
              </w:rPr>
              <w:t>不同</w:t>
            </w:r>
            <w:r>
              <w:rPr>
                <w:sz w:val="28"/>
                <w:szCs w:val="28"/>
              </w:rPr>
              <w:t>pH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、控制变量</w:t>
            </w: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rFonts w:eastAsia="楷体"/>
                <w:sz w:val="28"/>
                <w:szCs w:val="28"/>
              </w:rPr>
              <w:t>温度、种子数量等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。</w:t>
            </w:r>
          </w:p>
          <w:p w14:paraId="4B348678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3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实验操作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学生分组完成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</w:p>
          <w:p w14:paraId="391777BF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1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铺滤纸</w:t>
            </w:r>
            <w:r>
              <w:rPr>
                <w:rFonts w:hint="eastAsia" w:hAnsi="Times New Roman" w:eastAsia="Times New Roman"/>
                <w:sz w:val="28"/>
                <w:szCs w:val="28"/>
              </w:rPr>
              <w:t>→</w:t>
            </w:r>
            <w:r>
              <w:rPr>
                <w:rFonts w:eastAsia="楷体"/>
                <w:sz w:val="28"/>
                <w:szCs w:val="28"/>
              </w:rPr>
              <w:t>标注培养皿</w:t>
            </w: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A</w:t>
            </w:r>
            <w:r>
              <w:rPr>
                <w:rFonts w:eastAsia="楷体"/>
                <w:sz w:val="28"/>
                <w:szCs w:val="28"/>
              </w:rPr>
              <w:t>清水、</w:t>
            </w:r>
            <w:r>
              <w:rPr>
                <w:sz w:val="28"/>
                <w:szCs w:val="28"/>
              </w:rPr>
              <w:t>BpH5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6</w:t>
            </w:r>
            <w:r>
              <w:rPr>
                <w:rFonts w:eastAsia="楷体"/>
                <w:sz w:val="28"/>
                <w:szCs w:val="28"/>
              </w:rPr>
              <w:t>、</w:t>
            </w:r>
            <w:r>
              <w:rPr>
                <w:sz w:val="28"/>
                <w:szCs w:val="28"/>
              </w:rPr>
              <w:t>CpH4</w:t>
            </w:r>
            <w:r>
              <w:rPr>
                <w:rFonts w:eastAsia="楷体"/>
                <w:sz w:val="28"/>
                <w:szCs w:val="28"/>
              </w:rPr>
              <w:t>、</w:t>
            </w:r>
            <w:r>
              <w:rPr>
                <w:sz w:val="28"/>
                <w:szCs w:val="28"/>
              </w:rPr>
              <w:t>DpH3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。</w:t>
            </w:r>
          </w:p>
          <w:p w14:paraId="54599F2C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2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各放入</w:t>
            </w:r>
            <w:r>
              <w:rPr>
                <w:sz w:val="28"/>
                <w:szCs w:val="28"/>
              </w:rPr>
              <w:t>10</w:t>
            </w:r>
            <w:r>
              <w:rPr>
                <w:rFonts w:eastAsia="楷体"/>
                <w:sz w:val="28"/>
                <w:szCs w:val="28"/>
              </w:rPr>
              <w:t>粒种子</w:t>
            </w:r>
            <w:r>
              <w:rPr>
                <w:rFonts w:hint="eastAsia" w:hAnsi="Times New Roman" w:eastAsia="Times New Roman"/>
                <w:sz w:val="28"/>
                <w:szCs w:val="28"/>
              </w:rPr>
              <w:t>→</w:t>
            </w:r>
            <w:r>
              <w:rPr>
                <w:rFonts w:eastAsia="楷体"/>
                <w:sz w:val="28"/>
                <w:szCs w:val="28"/>
              </w:rPr>
              <w:t>每天添加等量对应溶液。</w:t>
            </w:r>
          </w:p>
          <w:p w14:paraId="0D3C2B16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3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设计观察记录表。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584DA523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认真思考并回答问题。</w:t>
            </w:r>
          </w:p>
          <w:p w14:paraId="35C507C2">
            <w:pPr>
              <w:overflowPunct w:val="0"/>
              <w:snapToGrid w:val="0"/>
              <w:spacing w:line="360" w:lineRule="auto"/>
            </w:pPr>
          </w:p>
          <w:p w14:paraId="62C7615C">
            <w:pPr>
              <w:overflowPunct w:val="0"/>
              <w:snapToGrid w:val="0"/>
              <w:spacing w:line="360" w:lineRule="auto"/>
            </w:pPr>
          </w:p>
          <w:p w14:paraId="15EEF5FE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设计并完成探究实验。</w:t>
            </w:r>
          </w:p>
          <w:p w14:paraId="0B5FD683">
            <w:pPr>
              <w:overflowPunct w:val="0"/>
              <w:snapToGrid w:val="0"/>
              <w:spacing w:line="360" w:lineRule="auto"/>
            </w:pPr>
          </w:p>
          <w:p w14:paraId="76B50CC5">
            <w:pPr>
              <w:overflowPunct w:val="0"/>
              <w:snapToGrid w:val="0"/>
              <w:spacing w:line="360" w:lineRule="auto"/>
            </w:pPr>
          </w:p>
          <w:p w14:paraId="1AB7CFB7">
            <w:pPr>
              <w:overflowPunct w:val="0"/>
              <w:snapToGrid w:val="0"/>
              <w:spacing w:line="360" w:lineRule="auto"/>
            </w:pPr>
          </w:p>
          <w:p w14:paraId="18A8538F">
            <w:pPr>
              <w:overflowPunct w:val="0"/>
              <w:snapToGrid w:val="0"/>
              <w:spacing w:line="360" w:lineRule="auto"/>
            </w:pPr>
          </w:p>
          <w:p w14:paraId="0C9A51A5">
            <w:pPr>
              <w:overflowPunct w:val="0"/>
              <w:snapToGrid w:val="0"/>
              <w:spacing w:line="360" w:lineRule="auto"/>
            </w:pPr>
          </w:p>
          <w:p w14:paraId="173ADF5D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分组完成实验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得出实验结论。</w:t>
            </w:r>
          </w:p>
        </w:tc>
      </w:tr>
      <w:tr w14:paraId="61560963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014756AC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楷体"/>
                <w:sz w:val="28"/>
                <w:szCs w:val="28"/>
              </w:rPr>
              <w:t>课堂小结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28D4C513">
            <w:pPr>
              <w:overflowPunct w:val="0"/>
              <w:snapToGrid w:val="0"/>
              <w:spacing w:line="360" w:lineRule="auto"/>
            </w:pPr>
            <w:r>
              <w:rPr>
                <w:rFonts w:ascii="Times New Roman" w:hAnsi="Times New Roman"/>
                <w:sz w:val="28"/>
                <w:szCs w:val="28"/>
              </w:rPr>
              <w:t>　　</w:t>
            </w:r>
            <w:r>
              <w:rPr>
                <w:rFonts w:eastAsia="楷体"/>
                <w:sz w:val="28"/>
                <w:szCs w:val="28"/>
              </w:rPr>
              <w:t>通过分析人类活动影响生态环境的事例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探究酸雨对生物的影响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以及了解我国防治酸雨的对策和成效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我们可以看出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人类活动可能会破坏生态系统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造成生态环境问题</w:t>
            </w:r>
            <w:r>
              <w:rPr>
                <w:rFonts w:ascii="宋体" w:hAnsi="宋体" w:eastAsia="宋体"/>
                <w:sz w:val="28"/>
                <w:szCs w:val="28"/>
              </w:rPr>
              <w:t>；</w:t>
            </w:r>
            <w:r>
              <w:rPr>
                <w:rFonts w:eastAsia="楷体"/>
                <w:sz w:val="28"/>
                <w:szCs w:val="28"/>
              </w:rPr>
              <w:t>我国正在努力开展多种行动来保护和修复生态系统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增强生态系统服务功能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改善生态环境。美丽中国的建设方兴未艾</w:t>
            </w:r>
            <w:r>
              <w:rPr>
                <w:rFonts w:ascii="宋体" w:hAnsi="宋体" w:eastAsia="宋体"/>
                <w:sz w:val="28"/>
                <w:szCs w:val="28"/>
              </w:rPr>
              <w:t>！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05993369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小组合作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总结本节课知识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绘制思维导图。</w:t>
            </w:r>
          </w:p>
        </w:tc>
      </w:tr>
    </w:tbl>
    <w:p w14:paraId="7E5E38E3">
      <w:pPr>
        <w:overflowPunct w:val="0"/>
        <w:snapToGrid w:val="0"/>
        <w:spacing w:line="360" w:lineRule="auto"/>
        <w:jc w:val="left"/>
        <w:rPr>
          <w:sz w:val="28"/>
          <w:szCs w:val="28"/>
        </w:rPr>
      </w:pPr>
    </w:p>
    <w:p w14:paraId="3CB3130A">
      <w:pPr>
        <w:overflowPunct w:val="0"/>
        <w:snapToGrid w:val="0"/>
        <w:spacing w:line="360" w:lineRule="auto"/>
        <w:jc w:val="left"/>
      </w:pPr>
      <w:r>
        <w:rPr>
          <w:sz w:val="28"/>
          <w:szCs w:val="28"/>
        </w:rPr>
        <w:drawing>
          <wp:inline distT="0" distB="0" distL="0" distR="0">
            <wp:extent cx="698500" cy="167640"/>
            <wp:effectExtent l="0" t="0" r="6350" b="3810"/>
            <wp:docPr id="137" name="板书设计.jpg" descr="id:21474881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板书设计.jpg" descr="id:2147488188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98747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EE305D">
      <w:pPr>
        <w:overflowPunct w:val="0"/>
        <w:snapToGrid w:val="0"/>
        <w:spacing w:line="360" w:lineRule="auto"/>
        <w:jc w:val="center"/>
      </w:pPr>
      <w:r>
        <w:rPr>
          <w:rFonts w:eastAsia="黑体"/>
          <w:sz w:val="28"/>
          <w:szCs w:val="28"/>
        </w:rPr>
        <w:t>第二章</w:t>
      </w:r>
      <w:r>
        <w:rPr>
          <w:rFonts w:ascii="Times New Roman" w:hAnsi="Times New Roman"/>
          <w:sz w:val="28"/>
          <w:szCs w:val="28"/>
        </w:rPr>
        <w:t>　</w:t>
      </w:r>
      <w:r>
        <w:rPr>
          <w:rFonts w:eastAsia="黑体"/>
          <w:sz w:val="28"/>
          <w:szCs w:val="28"/>
        </w:rPr>
        <w:t>生态安全</w:t>
      </w:r>
    </w:p>
    <w:p w14:paraId="18C22F70">
      <w:pPr>
        <w:overflowPunct w:val="0"/>
        <w:snapToGrid w:val="0"/>
        <w:spacing w:line="360" w:lineRule="auto"/>
        <w:jc w:val="center"/>
      </w:pPr>
      <w:r>
        <w:rPr>
          <w:rFonts w:eastAsia="黑体"/>
          <w:sz w:val="28"/>
          <w:szCs w:val="28"/>
        </w:rPr>
        <w:t>第一节</w:t>
      </w:r>
      <w:r>
        <w:rPr>
          <w:rFonts w:ascii="Times New Roman" w:hAnsi="Times New Roman"/>
          <w:sz w:val="28"/>
          <w:szCs w:val="28"/>
        </w:rPr>
        <w:t>　</w:t>
      </w:r>
      <w:r>
        <w:rPr>
          <w:rFonts w:eastAsia="黑体"/>
          <w:sz w:val="28"/>
          <w:szCs w:val="28"/>
        </w:rPr>
        <w:t>分析人类活动对生态环境的影响</w:t>
      </w:r>
    </w:p>
    <w:p w14:paraId="6CA29262">
      <w:pPr>
        <w:overflowPunct w:val="0"/>
        <w:snapToGrid w:val="0"/>
        <w:spacing w:line="360" w:lineRule="auto"/>
      </w:pPr>
      <w:r>
        <w:rPr>
          <w:rFonts w:hint="eastAsia"/>
          <w:sz w:val="28"/>
          <w:szCs w:val="28"/>
        </w:rPr>
        <w:t>一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/>
          <w:sz w:val="28"/>
          <w:szCs w:val="28"/>
        </w:rPr>
        <w:t>污染物沿食物链传递并逐渐积累</w:t>
      </w:r>
    </w:p>
    <w:p w14:paraId="33D6AA5F">
      <w:pPr>
        <w:overflowPunct w:val="0"/>
        <w:snapToGrid w:val="0"/>
        <w:spacing w:line="360" w:lineRule="auto"/>
      </w:pPr>
      <w:r>
        <w:rPr>
          <w:rFonts w:hint="eastAsia"/>
          <w:sz w:val="28"/>
          <w:szCs w:val="28"/>
        </w:rPr>
        <w:t>二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/>
          <w:sz w:val="28"/>
          <w:szCs w:val="28"/>
        </w:rPr>
        <w:t>生态服务</w:t>
      </w:r>
    </w:p>
    <w:p w14:paraId="4D52C039">
      <w:pPr>
        <w:overflowPunct w:val="0"/>
        <w:snapToGrid w:val="0"/>
        <w:spacing w:line="360" w:lineRule="auto"/>
      </w:pPr>
      <w:r>
        <w:rPr>
          <w:rFonts w:hint="eastAsia"/>
          <w:sz w:val="28"/>
          <w:szCs w:val="28"/>
        </w:rPr>
        <w:t>三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/>
          <w:sz w:val="28"/>
          <w:szCs w:val="28"/>
        </w:rPr>
        <w:t>生态系统具有自我调节能力</w:t>
      </w:r>
      <w:r>
        <w:rPr>
          <w:rFonts w:ascii="宋体" w:hAnsi="宋体" w:eastAsia="宋体"/>
          <w:sz w:val="28"/>
          <w:szCs w:val="28"/>
        </w:rPr>
        <w:t>，</w:t>
      </w:r>
      <w:r>
        <w:rPr>
          <w:rFonts w:hint="eastAsia"/>
          <w:sz w:val="28"/>
          <w:szCs w:val="28"/>
        </w:rPr>
        <w:t>但这种能力是有一定限度的</w:t>
      </w:r>
    </w:p>
    <w:p w14:paraId="7AA53002">
      <w:pPr>
        <w:overflowPunct w:val="0"/>
        <w:snapToGrid w:val="0"/>
        <w:spacing w:line="360" w:lineRule="auto"/>
      </w:pPr>
      <w:r>
        <w:rPr>
          <w:rFonts w:hint="eastAsia"/>
          <w:sz w:val="28"/>
          <w:szCs w:val="28"/>
        </w:rPr>
        <w:t>四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/>
          <w:sz w:val="28"/>
          <w:szCs w:val="28"/>
        </w:rPr>
        <w:t>分析人类活动影响生态环境的事例</w:t>
      </w:r>
    </w:p>
    <w:p w14:paraId="2E2FACBF">
      <w:pPr>
        <w:overflowPunct w:val="0"/>
        <w:snapToGrid w:val="0"/>
        <w:spacing w:line="360" w:lineRule="auto"/>
      </w:pPr>
      <w:r>
        <w:rPr>
          <w:rFonts w:hint="eastAsia"/>
          <w:sz w:val="28"/>
          <w:szCs w:val="28"/>
        </w:rPr>
        <w:t>五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/>
          <w:sz w:val="28"/>
          <w:szCs w:val="28"/>
        </w:rPr>
        <w:t>环境污染对生物的影响</w:t>
      </w:r>
    </w:p>
    <w:p w14:paraId="729621C6">
      <w:pPr>
        <w:overflowPunct w:val="0"/>
        <w:snapToGrid w:val="0"/>
        <w:spacing w:line="360" w:lineRule="auto"/>
        <w:jc w:val="left"/>
        <w:rPr>
          <w:rFonts w:hint="eastAsia"/>
        </w:rPr>
      </w:pPr>
      <w:r>
        <w:rPr>
          <w:sz w:val="28"/>
          <w:szCs w:val="28"/>
        </w:rPr>
        <w:drawing>
          <wp:inline distT="0" distB="0" distL="0" distR="0">
            <wp:extent cx="1173480" cy="225425"/>
            <wp:effectExtent l="0" t="0" r="7620" b="3175"/>
            <wp:docPr id="1" name="教学反思.jpg" descr="id:21474905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教学反思.jpg" descr="id:2147490577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73712" cy="22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9A97E7">
      <w:pPr>
        <w:overflowPunct w:val="0"/>
        <w:snapToGrid w:val="0"/>
        <w:spacing w:line="360" w:lineRule="auto"/>
        <w:rPr>
          <w:rFonts w:hint="default" w:eastAsia="宋体"/>
          <w:lang w:val="en-US" w:eastAsia="zh-CN"/>
        </w:rPr>
      </w:pPr>
      <w:r>
        <w:rPr>
          <w:color w:val="FEFEFE"/>
          <w:sz w:val="28"/>
          <w:szCs w:val="28"/>
          <w:u w:val="single" w:color="000000"/>
        </w:rPr>
        <w:t>　　　　　　</w:t>
      </w:r>
      <w:r>
        <w:rPr>
          <w:rFonts w:hint="eastAsia"/>
          <w:color w:val="FEFEFE"/>
          <w:sz w:val="28"/>
          <w:szCs w:val="28"/>
          <w:u w:val="single" w:color="000000"/>
          <w:lang w:val="en-US" w:eastAsia="zh-CN"/>
        </w:rPr>
        <w:t xml:space="preserve">                                                </w:t>
      </w:r>
    </w:p>
    <w:p w14:paraId="39C22CD8">
      <w:pPr>
        <w:overflowPunct w:val="0"/>
        <w:snapToGrid w:val="0"/>
        <w:spacing w:line="360" w:lineRule="auto"/>
        <w:rPr>
          <w:rFonts w:hint="default" w:eastAsia="宋体"/>
          <w:lang w:val="en-US" w:eastAsia="zh-CN"/>
        </w:rPr>
      </w:pPr>
      <w:r>
        <w:rPr>
          <w:color w:val="FEFEFE"/>
          <w:sz w:val="28"/>
          <w:szCs w:val="28"/>
          <w:u w:val="single" w:color="000000"/>
        </w:rPr>
        <w:t>　　　　　　</w:t>
      </w:r>
      <w:r>
        <w:rPr>
          <w:rFonts w:hint="eastAsia"/>
          <w:color w:val="FEFEFE"/>
          <w:sz w:val="28"/>
          <w:szCs w:val="28"/>
          <w:u w:val="single" w:color="000000"/>
          <w:lang w:val="en-US" w:eastAsia="zh-CN"/>
        </w:rPr>
        <w:t xml:space="preserve">                                                 </w:t>
      </w:r>
    </w:p>
    <w:p w14:paraId="645764ED">
      <w:pPr>
        <w:overflowPunct w:val="0"/>
        <w:snapToGrid w:val="0"/>
        <w:spacing w:line="360" w:lineRule="auto"/>
        <w:rPr>
          <w:rFonts w:hint="default" w:eastAsia="宋体"/>
          <w:lang w:val="en-US" w:eastAsia="zh-CN"/>
        </w:rPr>
      </w:pPr>
      <w:r>
        <w:rPr>
          <w:color w:val="FEFEFE"/>
          <w:sz w:val="28"/>
          <w:szCs w:val="28"/>
          <w:u w:val="single" w:color="000000"/>
        </w:rPr>
        <w:t>　　　　　　</w:t>
      </w:r>
      <w:r>
        <w:rPr>
          <w:rFonts w:hint="eastAsia"/>
          <w:color w:val="FEFEFE"/>
          <w:sz w:val="28"/>
          <w:szCs w:val="28"/>
          <w:u w:val="single" w:color="000000"/>
          <w:lang w:val="en-US" w:eastAsia="zh-CN"/>
        </w:rPr>
        <w:t xml:space="preserve">                                                </w:t>
      </w:r>
    </w:p>
    <w:p w14:paraId="556D0278">
      <w:pPr>
        <w:overflowPunct w:val="0"/>
        <w:snapToGrid w:val="0"/>
        <w:spacing w:line="360" w:lineRule="auto"/>
      </w:pPr>
      <w:r>
        <w:rPr>
          <w:color w:val="FEFEFE"/>
          <w:sz w:val="28"/>
          <w:szCs w:val="28"/>
          <w:u w:val="single" w:color="000000"/>
        </w:rPr>
        <w:t>　　　　　　</w:t>
      </w:r>
      <w:r>
        <w:rPr>
          <w:rFonts w:hint="eastAsia"/>
          <w:color w:val="FEFEFE"/>
          <w:sz w:val="28"/>
          <w:szCs w:val="28"/>
          <w:u w:val="single" w:color="000000"/>
          <w:lang w:val="en-US" w:eastAsia="zh-CN"/>
        </w:rPr>
        <w:t xml:space="preserve">                                          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4733F"/>
    <w:rsid w:val="03C1654A"/>
    <w:rsid w:val="18940A04"/>
    <w:rsid w:val="1A00533B"/>
    <w:rsid w:val="2D753526"/>
    <w:rsid w:val="3B9D5F38"/>
    <w:rsid w:val="4BE9017F"/>
    <w:rsid w:val="4E390A30"/>
    <w:rsid w:val="516A23D0"/>
    <w:rsid w:val="578B463E"/>
    <w:rsid w:val="5FBD227E"/>
    <w:rsid w:val="631A6CAE"/>
    <w:rsid w:val="688556BD"/>
    <w:rsid w:val="6CDC640E"/>
    <w:rsid w:val="728C1DD8"/>
    <w:rsid w:val="7D6A7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spacing w:line="323" w:lineRule="exact"/>
    </w:pPr>
    <w:rPr>
      <w:rFonts w:ascii="Times New Roman" w:hAnsi="Times New Roman" w:eastAsia="宋体" w:cstheme="minorBidi"/>
      <w:color w:val="000000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一级章节"/>
    <w:basedOn w:val="1"/>
    <w:qFormat/>
    <w:uiPriority w:val="0"/>
    <w:pPr>
      <w:outlineLvl w:val="1"/>
    </w:pPr>
  </w:style>
  <w:style w:type="paragraph" w:customStyle="1" w:styleId="5">
    <w:name w:val="二级章节"/>
    <w:basedOn w:val="1"/>
    <w:qFormat/>
    <w:uiPriority w:val="0"/>
    <w:pPr>
      <w:outlineLvl w:val="2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2024-05-31T08:31:00Z</dcterms:created>
  <dc:creator>Administrator</dc:creator>
  <cp:lastModifiedBy>理综组徐鑫</cp:lastModifiedBy>
  <dcterms:modified xsi:type="dcterms:W3CDTF">2025-08-16T03:04:49Z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61C92E3FF87F414AB3367487E33C4E9C_12</vt:lpwstr>
  </property>
  <property fmtid="{D5CDD505-2E9C-101B-9397-08002B2CF9AE}" pid="4" name="KSOTemplateDocerSaveRecord">
    <vt:lpwstr>eyJoZGlkIjoiMzIwNTNkZjAwMzZkNTE5OTRjOTBhMmJmMWFjNTc3ZjEiLCJ1c2VySWQiOiIyNDA4MTc1NjAifQ==</vt:lpwstr>
  </property>
</Properties>
</file>